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BFD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静电场的应用</w:t>
      </w:r>
    </w:p>
    <w:p w14:paraId="35AE9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第一节  电容器与电容</w:t>
      </w:r>
    </w:p>
    <w:p w14:paraId="0208F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课时1  电容器的电容</w:t>
      </w:r>
    </w:p>
    <w:p w14:paraId="1DA1D9E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auto"/>
          <w:sz w:val="21"/>
          <w:szCs w:val="21"/>
        </w:rPr>
        <w:t>电容器</w:t>
      </w:r>
    </w:p>
    <w:p w14:paraId="63AC425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组成：由两个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互相靠近、彼此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color w:val="auto"/>
          <w:sz w:val="21"/>
          <w:szCs w:val="21"/>
        </w:rPr>
        <w:t>的导体组成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0459470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u w:val="none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带电荷量：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每一</w:t>
      </w:r>
      <w:r>
        <w:rPr>
          <w:rFonts w:ascii="Times New Roman" w:hAnsi="Times New Roman" w:cs="Times New Roman"/>
          <w:color w:val="auto"/>
          <w:sz w:val="21"/>
          <w:szCs w:val="21"/>
        </w:rPr>
        <w:t>极板所带电量的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eastAsia="zh-CN"/>
        </w:rPr>
        <w:t>。</w:t>
      </w:r>
    </w:p>
    <w:p w14:paraId="69E83B3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电容器的充、放电</w:t>
      </w:r>
    </w:p>
    <w:p w14:paraId="54D2E1D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/>
          <w:color w:val="auto"/>
          <w:sz w:val="21"/>
          <w:szCs w:val="21"/>
        </w:rPr>
        <w:t>充电：使电容器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的</w:t>
      </w:r>
      <w:r>
        <w:rPr>
          <w:rFonts w:ascii="Times New Roman" w:hAnsi="Times New Roman" w:cs="Times New Roman"/>
          <w:color w:val="auto"/>
          <w:sz w:val="21"/>
          <w:szCs w:val="21"/>
        </w:rPr>
        <w:t>两极板带上等量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的过程叫充电</w:t>
      </w:r>
      <w:r>
        <w:rPr>
          <w:rFonts w:ascii="Times New Roman" w:hAnsi="Times New Roman" w:cs="Times New Roman"/>
          <w:color w:val="auto"/>
          <w:sz w:val="21"/>
          <w:szCs w:val="21"/>
        </w:rPr>
        <w:t>，电容器中储存电场能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55794DF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/>
          <w:color w:val="auto"/>
          <w:sz w:val="21"/>
          <w:szCs w:val="21"/>
        </w:rPr>
        <w:t>放电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：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使电容器两极板上的电荷中和的过程</w:t>
      </w:r>
      <w:r>
        <w:rPr>
          <w:rFonts w:ascii="Times New Roman" w:hAnsi="Times New Roman" w:cs="Times New Roman"/>
          <w:color w:val="auto"/>
          <w:sz w:val="21"/>
          <w:szCs w:val="21"/>
        </w:rPr>
        <w:t>，放电过程中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转化为其他形式的能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2E41DE8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2.</w:t>
      </w:r>
      <w:r>
        <w:rPr>
          <w:rFonts w:ascii="Times New Roman" w:hAnsi="Times New Roman" w:cs="Times New Roman"/>
          <w:color w:val="auto"/>
          <w:sz w:val="21"/>
          <w:szCs w:val="21"/>
        </w:rPr>
        <w:t>电容</w:t>
      </w:r>
    </w:p>
    <w:p w14:paraId="263A849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定义：电容器所带的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/>
          <w:color w:val="auto"/>
          <w:sz w:val="21"/>
          <w:szCs w:val="21"/>
        </w:rPr>
        <w:t>与电容器两极板间的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之比，叫作电容器的电容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符号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表示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</w:p>
    <w:p w14:paraId="5D501335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定义式：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0A761C6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单位：法拉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（F）</w:t>
      </w:r>
      <w:r>
        <w:rPr>
          <w:rFonts w:ascii="Times New Roman" w:hAnsi="Times New Roman" w:cs="Times New Roman"/>
          <w:color w:val="auto"/>
          <w:sz w:val="21"/>
          <w:szCs w:val="21"/>
        </w:rPr>
        <w:t>、微法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μF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、皮法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pF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）。</w:t>
      </w:r>
      <w:r>
        <w:rPr>
          <w:rFonts w:ascii="Times New Roman" w:hAnsi="Times New Roman" w:cs="Times New Roman"/>
          <w:color w:val="auto"/>
          <w:sz w:val="21"/>
          <w:szCs w:val="21"/>
        </w:rPr>
        <w:t>1 F＝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μF＝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pF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825E02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意义：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描述电容器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本领的物理量。</w:t>
      </w:r>
    </w:p>
    <w:p w14:paraId="22FD872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决定因素：由电容器本身物理条件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大小、形状、极板相对位置及电介质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决定，与电容器是否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及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/>
          <w:color w:val="auto"/>
          <w:sz w:val="21"/>
          <w:szCs w:val="21"/>
        </w:rPr>
        <w:t>无关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63C9E7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3.</w:t>
      </w:r>
      <w:r>
        <w:rPr>
          <w:rFonts w:ascii="Times New Roman" w:hAnsi="Times New Roman" w:cs="Times New Roman"/>
          <w:color w:val="auto"/>
          <w:sz w:val="21"/>
          <w:szCs w:val="21"/>
        </w:rPr>
        <w:t>平行板电容器的电容</w:t>
      </w:r>
    </w:p>
    <w:p w14:paraId="5842B73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决定因素：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平行板电容器的电容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</w:rPr>
        <w:t>C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与相对介电常数</w:t>
      </w:r>
      <w:r>
        <w:rPr>
          <w:rFonts w:hint="eastAsia" w:ascii="Times New Roman" w:hAnsi="Times New Roman" w:cs="Times New Roman"/>
          <w:color w:val="auto"/>
          <w:position w:val="-10"/>
          <w:sz w:val="21"/>
          <w:szCs w:val="21"/>
        </w:rPr>
        <w:object>
          <v:shape id="_x0000_i1025" o:spt="75" type="#_x0000_t75" style="height:17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成正比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，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两极板的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正对面积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</w:rPr>
        <w:t>S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成正比，跟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两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极板间的距离</w:t>
      </w:r>
      <w:r>
        <w:rPr>
          <w:rFonts w:hint="eastAsia" w:ascii="Times New Roman" w:hAnsi="Times New Roman" w:cs="Times New Roman"/>
          <w:i/>
          <w:iCs/>
          <w:color w:val="auto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auto"/>
          <w:sz w:val="21"/>
          <w:szCs w:val="21"/>
        </w:rPr>
        <w:t>成反比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167DEEC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决定式：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。</w:t>
      </w:r>
    </w:p>
    <w:p w14:paraId="5762D8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4.平行板电容器的动态分析</w:t>
      </w:r>
    </w:p>
    <w:p w14:paraId="6D5938B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（1）</w:t>
      </w:r>
      <w:r>
        <w:rPr>
          <w:rFonts w:ascii="Times New Roman" w:hAnsi="Times New Roman" w:cs="Times New Roman"/>
          <w:color w:val="auto"/>
          <w:sz w:val="21"/>
          <w:szCs w:val="21"/>
        </w:rPr>
        <w:t>电容器始终与恒压电源相连，电容器两极板间的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i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/>
          <w:color w:val="auto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622AFB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color w:val="auto"/>
          <w:sz w:val="21"/>
          <w:szCs w:val="21"/>
        </w:rPr>
        <w:t>根据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Times New Roman" w:hAnsi="Times New Roman" w:cs="Times New Roman"/>
          <w:color w:val="auto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color w:val="auto"/>
          <w:sz w:val="21"/>
          <w:szCs w:val="21"/>
        </w:rPr>
        <w:t>再分析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Q</w:t>
      </w:r>
      <w:r>
        <w:rPr>
          <w:rFonts w:ascii="Times New Roman" w:hAnsi="Times New Roman" w:cs="Times New Roman"/>
          <w:color w:val="auto"/>
          <w:sz w:val="21"/>
          <w:szCs w:val="21"/>
        </w:rPr>
        <w:t>的变化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05A9101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color w:val="auto"/>
          <w:sz w:val="21"/>
          <w:szCs w:val="21"/>
        </w:rPr>
        <w:t>根据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auto"/>
          <w:sz w:val="21"/>
          <w:szCs w:val="21"/>
        </w:rPr>
        <w:t>分析场强的变化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63D99CA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③</w:t>
      </w:r>
      <w:r>
        <w:rPr>
          <w:rFonts w:ascii="Times New Roman" w:hAnsi="Times New Roman" w:cs="Times New Roman"/>
          <w:color w:val="auto"/>
          <w:sz w:val="21"/>
          <w:szCs w:val="21"/>
        </w:rPr>
        <w:t>根据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U</w:t>
      </w:r>
      <w:r>
        <w:rPr>
          <w:rFonts w:ascii="Times New Roman" w:hAnsi="Times New Roman" w:cs="Times New Roman"/>
          <w:i/>
          <w:color w:val="auto"/>
          <w:sz w:val="21"/>
          <w:szCs w:val="21"/>
          <w:vertAlign w:val="subscript"/>
        </w:rPr>
        <w:t>AB</w:t>
      </w:r>
      <w:r>
        <w:rPr>
          <w:rFonts w:ascii="Times New Roman" w:hAnsi="Times New Roman" w:cs="Times New Roman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·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d</w:t>
      </w:r>
      <w:r>
        <w:rPr>
          <w:rFonts w:ascii="Times New Roman" w:hAnsi="Times New Roman" w:cs="Times New Roman"/>
          <w:color w:val="auto"/>
          <w:sz w:val="21"/>
          <w:szCs w:val="21"/>
        </w:rPr>
        <w:t>分析某点电势变化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641C2DF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color w:val="auto"/>
        </w:rPr>
        <w:drawing>
          <wp:inline distT="0" distB="0" distL="114300" distR="114300">
            <wp:extent cx="2213610" cy="453390"/>
            <wp:effectExtent l="0" t="0" r="15240" b="3810"/>
            <wp:docPr id="1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3610" cy="45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82C62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电容器充电后与电源断开，电容器两极板所带的电荷量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Q</w:t>
      </w:r>
      <w:r>
        <w:rPr>
          <w:rFonts w:ascii="Times New Roman" w:hAnsi="Times New Roman" w:cs="Times New Roman"/>
          <w:color w:val="auto"/>
          <w:sz w:val="21"/>
          <w:szCs w:val="21"/>
        </w:rPr>
        <w:t>保持不变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3A73883A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①</w:t>
      </w:r>
      <w:r>
        <w:rPr>
          <w:rFonts w:ascii="Times New Roman" w:hAnsi="Times New Roman" w:cs="Times New Roman"/>
          <w:color w:val="auto"/>
          <w:sz w:val="21"/>
          <w:szCs w:val="21"/>
        </w:rPr>
        <w:t>根据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hAnsi="Times New Roman" w:cs="Times New Roman"/>
          <w:color w:val="auto"/>
          <w:sz w:val="21"/>
          <w:szCs w:val="21"/>
        </w:rPr>
        <w:t>先分析电容的变化，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根据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  <w:color w:val="auto"/>
          <w:sz w:val="21"/>
          <w:szCs w:val="21"/>
        </w:rPr>
        <w:t>再分析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U</w:t>
      </w:r>
      <w:r>
        <w:rPr>
          <w:rFonts w:ascii="Times New Roman" w:hAnsi="Times New Roman" w:cs="Times New Roman"/>
          <w:color w:val="auto"/>
          <w:sz w:val="21"/>
          <w:szCs w:val="21"/>
        </w:rPr>
        <w:t>的变化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43AD353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</w:t>
      </w:r>
      <w:r>
        <w:rPr>
          <w:rFonts w:ascii="Times New Roman" w:hAnsi="Times New Roman" w:cs="Times New Roman"/>
          <w:color w:val="auto"/>
          <w:sz w:val="21"/>
          <w:szCs w:val="21"/>
        </w:rPr>
        <w:t>根据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eq \f(</w:instrTex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instrText xml:space="preserve">U,d</w:instrText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auto"/>
          <w:sz w:val="21"/>
          <w:szCs w:val="21"/>
        </w:rPr>
        <w:t>＝</w: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begin"/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eq \f(4</w:instrTex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instrText xml:space="preserve">k</w:instrText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π</w:instrTex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instrText xml:space="preserve">Q,ε</w:instrTex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instrText xml:space="preserve">r</w:instrTex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instrText xml:space="preserve">S</w:instrText>
      </w:r>
      <w:r>
        <w:rPr>
          <w:rFonts w:ascii="Times New Roman" w:hAnsi="Times New Roman" w:cs="Times New Roman"/>
          <w:color w:val="auto"/>
          <w:sz w:val="21"/>
          <w:szCs w:val="21"/>
        </w:rPr>
        <w:instrText xml:space="preserve">)</w:instrText>
      </w:r>
      <w:r>
        <w:rPr>
          <w:rFonts w:ascii="Times New Roman" w:hAnsi="Times New Roman" w:cs="Times New Roman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/>
          <w:color w:val="auto"/>
          <w:sz w:val="21"/>
          <w:szCs w:val="21"/>
        </w:rPr>
        <w:t>分析场强变化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7670EBA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color w:val="auto"/>
        </w:rPr>
        <w:drawing>
          <wp:inline distT="0" distB="0" distL="114300" distR="114300">
            <wp:extent cx="1788160" cy="708660"/>
            <wp:effectExtent l="0" t="0" r="2540" b="15240"/>
            <wp:docPr id="1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881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8D74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5.常见电容器</w:t>
      </w:r>
    </w:p>
    <w:p w14:paraId="35E82F2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（1）常用的电容器，从构造上看，可以分为固定电容器和可变电容器两类。</w:t>
      </w:r>
    </w:p>
    <w:p w14:paraId="6A8D1C7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（2）电容器的额定电压和击穿电压</w:t>
      </w:r>
    </w:p>
    <w:p w14:paraId="772564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①额定电压（或称工作电压）：电容器能够长时间正常工作的最大电压 。</w:t>
      </w:r>
    </w:p>
    <w:p w14:paraId="075C3F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val="en-US" w:eastAsia="zh-CN"/>
        </w:rPr>
        <w:t>②击穿电压：电介质被击穿时加在电容器两极板上的极限电压，若电压超过这一限度，则电容器就会损坏。</w:t>
      </w:r>
    </w:p>
    <w:p w14:paraId="68C7B0D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</w:p>
    <w:p w14:paraId="3C44C6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判断</w:t>
      </w:r>
    </w:p>
    <w:p w14:paraId="07B780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1.电容表示电容器容纳电荷的多少                                            （   ）</w:t>
      </w:r>
    </w:p>
    <w:p w14:paraId="01DCD4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2.电容器的电容与电容器所带电荷量成正比，跟它两极板间所加电压成反比        （   ）</w:t>
      </w:r>
    </w:p>
    <w:p w14:paraId="1075F9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3.电容器所带的电荷量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是指一个极板所带电荷量的绝对值                      （   ）                     </w:t>
      </w:r>
    </w:p>
    <w:p w14:paraId="4C4AD0A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</w:p>
    <w:p w14:paraId="651A4D3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示例</w:t>
      </w:r>
    </w:p>
    <w:p w14:paraId="77091E3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（</w:t>
      </w:r>
      <w:r>
        <w:rPr>
          <w:rFonts w:ascii="Times New Roman" w:hAnsi="Times New Roman" w:cs="Times New Roman"/>
          <w:color w:val="auto"/>
          <w:sz w:val="21"/>
          <w:szCs w:val="21"/>
        </w:rPr>
        <w:t>多选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平行板电容器的两极板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、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接于电池两极，一个带正电小球悬挂在电容器内部，闭合开关S，电容器充电，稳定后悬线偏离竖直方向夹角为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θ</w:t>
      </w:r>
      <w:r>
        <w:rPr>
          <w:rFonts w:ascii="Times New Roman" w:hAnsi="Times New Roman" w:cs="Times New Roman"/>
          <w:color w:val="auto"/>
          <w:sz w:val="21"/>
          <w:szCs w:val="21"/>
        </w:rPr>
        <w:t>，如图所示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color w:val="auto"/>
          <w:sz w:val="21"/>
          <w:szCs w:val="21"/>
        </w:rPr>
        <w:t>那么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</w:p>
    <w:p w14:paraId="22768F3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1833245</wp:posOffset>
            </wp:positionH>
            <wp:positionV relativeFrom="paragraph">
              <wp:posOffset>140335</wp:posOffset>
            </wp:positionV>
            <wp:extent cx="1074420" cy="1003300"/>
            <wp:effectExtent l="0" t="0" r="11430" b="6350"/>
            <wp:wrapSquare wrapText="bothSides"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0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4FE5F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3DA82B1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2F4BF63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53B93BA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3D87488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4015EE5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0BC18F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</w:p>
    <w:p w14:paraId="671F97C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A．保持开关S闭合，带正电的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θ</w:t>
      </w:r>
      <w:r>
        <w:rPr>
          <w:rFonts w:ascii="Times New Roman" w:hAnsi="Times New Roman" w:cs="Times New Roman"/>
          <w:color w:val="auto"/>
          <w:sz w:val="21"/>
          <w:szCs w:val="21"/>
        </w:rPr>
        <w:t>增大</w:t>
      </w:r>
    </w:p>
    <w:p w14:paraId="0AA3635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B．保持开关S闭合，带正电的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θ</w:t>
      </w:r>
      <w:r>
        <w:rPr>
          <w:rFonts w:ascii="Times New Roman" w:hAnsi="Times New Roman" w:cs="Times New Roman"/>
          <w:color w:val="auto"/>
          <w:sz w:val="21"/>
          <w:szCs w:val="21"/>
        </w:rPr>
        <w:t>不变</w:t>
      </w:r>
    </w:p>
    <w:p w14:paraId="5039824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C．开关S断开，带正电的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θ</w:t>
      </w:r>
      <w:r>
        <w:rPr>
          <w:rFonts w:ascii="Times New Roman" w:hAnsi="Times New Roman" w:cs="Times New Roman"/>
          <w:color w:val="auto"/>
          <w:sz w:val="21"/>
          <w:szCs w:val="21"/>
        </w:rPr>
        <w:t>增大</w:t>
      </w:r>
    </w:p>
    <w:p w14:paraId="57FA9D5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</w:pPr>
      <w:r>
        <w:rPr>
          <w:rFonts w:ascii="Times New Roman" w:hAnsi="Times New Roman" w:cs="Times New Roman"/>
          <w:color w:val="auto"/>
          <w:sz w:val="21"/>
          <w:szCs w:val="21"/>
        </w:rPr>
        <w:t>D．开关S断开，带正电的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A</w:t>
      </w:r>
      <w:r>
        <w:rPr>
          <w:rFonts w:ascii="Times New Roman" w:hAnsi="Times New Roman" w:cs="Times New Roman"/>
          <w:color w:val="auto"/>
          <w:sz w:val="21"/>
          <w:szCs w:val="21"/>
        </w:rPr>
        <w:t>板向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B</w:t>
      </w:r>
      <w:r>
        <w:rPr>
          <w:rFonts w:ascii="Times New Roman" w:hAnsi="Times New Roman" w:cs="Times New Roman"/>
          <w:color w:val="auto"/>
          <w:sz w:val="21"/>
          <w:szCs w:val="21"/>
        </w:rPr>
        <w:t>板靠近，则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θ</w:t>
      </w:r>
      <w:r>
        <w:rPr>
          <w:rFonts w:ascii="Times New Roman" w:hAnsi="Times New Roman" w:cs="Times New Roman"/>
          <w:color w:val="auto"/>
          <w:sz w:val="21"/>
          <w:szCs w:val="21"/>
        </w:rPr>
        <w:t>不变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E9E628"/>
    <w:multiLevelType w:val="singleLevel"/>
    <w:tmpl w:val="AEE9E62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10A854E3"/>
    <w:rsid w:val="13B12EDD"/>
    <w:rsid w:val="201472ED"/>
    <w:rsid w:val="2BE92C98"/>
    <w:rsid w:val="2CC31B0E"/>
    <w:rsid w:val="313917C7"/>
    <w:rsid w:val="32B85544"/>
    <w:rsid w:val="3A890C98"/>
    <w:rsid w:val="3AED5139"/>
    <w:rsid w:val="3FC76631"/>
    <w:rsid w:val="42752A18"/>
    <w:rsid w:val="459E23E7"/>
    <w:rsid w:val="511F1327"/>
    <w:rsid w:val="586D5544"/>
    <w:rsid w:val="5A170C5A"/>
    <w:rsid w:val="5B56564E"/>
    <w:rsid w:val="6D2E262D"/>
    <w:rsid w:val="79F05B90"/>
    <w:rsid w:val="7A435623"/>
    <w:rsid w:val="7A5B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933</Words>
  <Characters>955</Characters>
  <Lines>0</Lines>
  <Paragraphs>0</Paragraphs>
  <TotalTime>0</TotalTime>
  <ScaleCrop>false</ScaleCrop>
  <LinksUpToDate>false</LinksUpToDate>
  <CharactersWithSpaces>1214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F6A0A17FBB3C4514A741A274A09FBE3D_13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